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497</w:t>
      </w:r>
    </w:p>
    <w:p>
      <w:r>
        <w:t>Bundesgericht (BGE), 2000-05-03, DE</w:t>
      </w:r>
    </w:p>
    <w:p>
      <w:r>
        <w:rPr>
          <w:b/>
        </w:rPr>
        <w:t xml:space="preserve">Quelle: </w:t>
      </w:r>
      <w:r>
        <w:t>https://mcp.opencaselaw.ch/entscheid/bge_126 III 497</w:t>
      </w:r>
    </w:p>
    <w:p>
      <w:r>
        <w:t>FR: ATF 126 III 497</w:t>
      </w:r>
    </w:p>
    <w:p>
      <w:r>
        <w:t>IT: DTF 126 III 497</w:t>
      </w:r>
    </w:p>
    <w:p>
      <w:pPr>
        <w:pStyle w:val="Heading2"/>
      </w:pPr>
      <w:r>
        <w:t>Regeste</w:t>
      </w:r>
    </w:p>
    <w:p>
      <w:r>
        <w:t>Regeste Anhörung der Kinder gemäss Art. 144 Abs. 2 ZGB im Verfahren betreffend Erlass vorsorglicher Massnahmen für die Dauer des Scheidungsverfahrens (Art. 137 ZGB). Die Kinder sind bereits im Massnahmeverfahren nach Art. 137 ZGB in geeigneter Weise durch den Richter oder durch eine beauftragte Drittperson persönlich anzuhören, soweit nicht ihr Alter oder andere wichtige Gründe dagegen sprechen.</w:t>
      </w:r>
    </w:p>
    <w:p>
      <w:pPr>
        <w:pStyle w:val="Heading2"/>
      </w:pPr>
      <w:r>
        <w:t>Erwägungen</w:t>
      </w:r>
    </w:p>
    <w:p>
      <w:r>
        <w:rPr>
          <w:b/>
        </w:rPr>
        <w:t>E. 4</w:t>
      </w:r>
    </w:p>
    <w:p>
      <w:r>
        <w:t>a) Nach Art. 144 Abs. 1 ZGB sind die Eltern persönlich anzuhören, wenn Anordnungen über die Kinder zu treffen sind. Abs. 2 der genannten Bestimmung sieht vor, dass die Kinder in geeigneter Weise durch das Gericht oder durch eine beauftragte Drittperson persönlich anzuhören sind, soweit nicht ihr Alter oder andere wichtige Gründe dagegen sprechen. b) Aus dem Wortlaut von Abs. 1 des Art. 144 ZGB in Verbindung mit Abs. 2 der Bestimmung lässt sich folgern, dass auch eine persönliche Anhörung der Kinder vorgeschrieben ist, wenn sie betreffende Anordnungen getroffen werden; daraus ergibt sich, dass es sich bereits im Massnahmeverfahren nach Art. 137 ZGB von Gesetzes wegen aufdrängt, die Kinder persönlich anzuhören, sofern die im Gesetz umschriebenen Massnahmen verfügt werden. Die hier vertretene Auslegung rechtfertigt sich denn auch im Lichte von Art. 12 Abs. 2 des Übereinkommens vom 20. November 1989 über die Rechte des Kindes (SR 0.107); diese Bestimmung gebietet grundsätzlich eine Anhörung der Kinder, wenn ein Gerichts- oder Verwaltungsverfahren ihre Angelegenheiten betrifft (vgl. dazu auch: BGE 124 III 90 ). In der Literatur wird eine Anhörung bereits im Massnahmeverfahren nach Art. 137 ZGB unter anderem aus den BGE 126 III 497 S. 499 vorgenannten Gründen befürwortet (vgl. insbes. SUTTER/FREIBURGHAUS, Kommentar zum neuen Scheidungsrecht, Zürich 1999, N. 6 zu Art. 144 ZGB ; SPÜHLER, Neues Scheidungsverfahren, Zürich 1999, S. 30; RUMO-JUNGO, Die Anhörung des Kindes unter besonderer Berücksichtigung verfahrensrechtlicher Fragen, AJP 1999 S. 1587, VII. 2.; etwas nuancierter: SCHWEIGHAUSER, in Schwenzer [Herausg.], Praxiskommentar zum Scheidungsrecht, Basel 2000, N. 18 zu Art. 144 ZGB , wonach sich die Anhörung lediglich aufdrängt, wenn die Frage der Zuteilung der Obhut oder des Besuchsrechts strittig ist). c) Im vorliegenden Fall sind keine Gründe ersichtlich, die im Sinne von Art. 144 Abs. 2 ZGB gegen eine solche Anhörung sprechen würden. Dies gilt bezüglich des Alters der Kinder; dabei wird keineswegs übersehen, dass das Jüngste derzeit erst ca. 9 1/2 Jahre alt ist. In dem in BGE 124 III 93 /94 beschriebenen Fall wurde ein 6-jähriges Kind vor allem wegen des bis dahin fehlenden Kontaktes zum Vater, aber auch wegen anderer wichtiger Gründe nicht persönlich angehört (vgl. hiezu auch RUMO-JUNGO, a.a.O., S. 1581/1582). Ferner besteht auch keine Dringlichkeit, bei der eine Anhörung im Verfahren der vorsorglichen Massnahmen allenfalls unterbleiben könnte (RUMO-JUNGO, a.a.O., S. 1587 Anm.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